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750" w:rsidRPr="00BD4750" w:rsidRDefault="00BD4750" w:rsidP="00BD4750">
      <w:pPr>
        <w:spacing w:beforeLines="1" w:afterLines="1"/>
        <w:jc w:val="center"/>
        <w:outlineLvl w:val="0"/>
        <w:rPr>
          <w:rFonts w:ascii="Times" w:hAnsi="Times"/>
          <w:b/>
          <w:kern w:val="36"/>
          <w:sz w:val="48"/>
          <w:szCs w:val="20"/>
          <w:lang w:eastAsia="it-IT"/>
        </w:rPr>
      </w:pPr>
      <w:r w:rsidRPr="00BD4750">
        <w:rPr>
          <w:rFonts w:ascii="Times" w:hAnsi="Times"/>
          <w:b/>
          <w:kern w:val="36"/>
          <w:sz w:val="48"/>
          <w:szCs w:val="20"/>
          <w:lang w:eastAsia="it-IT"/>
        </w:rPr>
        <w:t>Articolo 94 Testo unico stupefacenti</w:t>
      </w:r>
    </w:p>
    <w:p w:rsidR="00BD4750" w:rsidRPr="00BD4750" w:rsidRDefault="00BD4750" w:rsidP="00BD4750">
      <w:pPr>
        <w:spacing w:beforeLines="1" w:afterLines="1"/>
        <w:jc w:val="center"/>
        <w:outlineLvl w:val="1"/>
        <w:rPr>
          <w:rFonts w:ascii="Times" w:hAnsi="Times"/>
          <w:b/>
          <w:sz w:val="36"/>
          <w:szCs w:val="20"/>
          <w:lang w:eastAsia="it-IT"/>
        </w:rPr>
      </w:pPr>
      <w:r w:rsidRPr="00BD4750">
        <w:rPr>
          <w:rFonts w:ascii="Times" w:hAnsi="Times"/>
          <w:b/>
          <w:sz w:val="36"/>
          <w:szCs w:val="20"/>
          <w:lang w:eastAsia="it-IT"/>
        </w:rPr>
        <w:t>(D.P.R. 9 ottobre 1990, n. 309)</w:t>
      </w:r>
    </w:p>
    <w:p w:rsidR="00BD4750" w:rsidRPr="00BD4750" w:rsidRDefault="00BD4750" w:rsidP="00BD4750">
      <w:pPr>
        <w:jc w:val="center"/>
        <w:rPr>
          <w:rFonts w:ascii="Times" w:hAnsi="Times"/>
          <w:sz w:val="20"/>
          <w:szCs w:val="20"/>
          <w:lang w:eastAsia="it-IT"/>
        </w:rPr>
      </w:pPr>
      <w:r w:rsidRPr="00BD4750">
        <w:rPr>
          <w:rFonts w:ascii="Times" w:hAnsi="Times"/>
          <w:sz w:val="15"/>
          <w:szCs w:val="20"/>
          <w:lang w:eastAsia="it-IT"/>
        </w:rPr>
        <w:t>[Aggiornato al 01/01/2025]</w:t>
      </w:r>
    </w:p>
    <w:p w:rsidR="00BD4750" w:rsidRPr="00BD4750" w:rsidRDefault="00BD4750" w:rsidP="00BD4750">
      <w:pPr>
        <w:spacing w:beforeLines="1" w:afterLines="1"/>
        <w:jc w:val="center"/>
        <w:outlineLvl w:val="2"/>
        <w:rPr>
          <w:rFonts w:ascii="Times" w:hAnsi="Times"/>
          <w:b/>
          <w:sz w:val="27"/>
          <w:szCs w:val="20"/>
          <w:lang w:eastAsia="it-IT"/>
        </w:rPr>
      </w:pPr>
      <w:r w:rsidRPr="00BD4750">
        <w:rPr>
          <w:rFonts w:ascii="Times" w:hAnsi="Times"/>
          <w:b/>
          <w:sz w:val="27"/>
          <w:szCs w:val="20"/>
          <w:lang w:eastAsia="it-IT"/>
        </w:rPr>
        <w:t>Affidamento in prova in casi particolari</w:t>
      </w:r>
    </w:p>
    <w:p w:rsidR="00BD4750" w:rsidRDefault="00BD4750" w:rsidP="00BD4750">
      <w:pPr>
        <w:jc w:val="center"/>
      </w:pPr>
    </w:p>
    <w:p w:rsidR="00BD4750" w:rsidRDefault="00BD4750" w:rsidP="00BD4750">
      <w:pPr>
        <w:pStyle w:val="comma"/>
        <w:spacing w:before="2" w:after="2"/>
        <w:rPr>
          <w:rFonts w:cs="Times New Roman"/>
        </w:rPr>
      </w:pPr>
      <w:r>
        <w:rPr>
          <w:rFonts w:cs="Times New Roman"/>
        </w:rPr>
        <w:t xml:space="preserve">1. Se la pena detentiva deve essere eseguita nei confronti di persona tossicodipendente o alcooldipendente che abbia in corso un programma di recupero o che ad esso intenda sottoporsi, l'interessato può chiedere in ogni momento di essere affidato in prova al servizio sociale per proseguire o intraprendere l'attività terapeutica sulla base di un programma da lui concordato con una azienda unità sanitaria locale o con una struttura privata autorizzata ai sensi dell'articolo </w:t>
      </w:r>
      <w:hyperlink r:id="rId4" w:history="1">
        <w:r>
          <w:rPr>
            <w:rStyle w:val="Collegamentoipertestuale"/>
            <w:rFonts w:cs="Times New Roman"/>
          </w:rPr>
          <w:t>116</w:t>
        </w:r>
      </w:hyperlink>
      <w:r>
        <w:rPr>
          <w:rFonts w:cs="Times New Roman"/>
        </w:rPr>
        <w:t xml:space="preserve">. L'affidamento in prova in casi particolari può essere concesso solo quando deve essere espiata una pena detentiva, anche residua e congiunta a pena pecuniaria, non superiore a sei anni od a quattro anni se relativa a titolo esecutivo comprendente reato di cui all'articolo 4-bis della legge 26 luglio 1975, n. 354, e successive modificazioni. Alla domanda è allegata, a pena di inammissibilità, certificazione rilasciata da una struttura sanitaria pubblica o da una struttura privata accreditata per l'attività di diagnosi prevista dal comma 2, lettera d), dell'articolo </w:t>
      </w:r>
      <w:hyperlink r:id="rId5" w:history="1">
        <w:r>
          <w:rPr>
            <w:rStyle w:val="Collegamentoipertestuale"/>
            <w:rFonts w:cs="Times New Roman"/>
          </w:rPr>
          <w:t>116</w:t>
        </w:r>
      </w:hyperlink>
      <w:r>
        <w:rPr>
          <w:rFonts w:cs="Times New Roman"/>
        </w:rPr>
        <w:t xml:space="preserve"> attestante lo stato di tossicodipendenza o di alcooldipendenza, la procedura con la quale e' stato accertato l'uso abituale di sostanze stupefacenti, psicotrope o alcoliche, l'andamento del programma concordato eventualmente in corso e la sua idoneita', ai fini del recupero del condannato. Affinché il trattamento sia eseguito a carico del Servizio sanitario nazionale, la struttura interessata deve essere in possesso dell'accreditamento istituzionale di cui all'articolo 8-quater del decreto legislativo 30 dicembre 1992, n. 502, e successive modificazioni, ed aver stipulato gli accordi contrattuali di cui all'articolo 8-quinquies del citato decreto legislativo.</w:t>
      </w:r>
    </w:p>
    <w:p w:rsidR="00BD4750" w:rsidRDefault="00BD4750" w:rsidP="00BD4750">
      <w:pPr>
        <w:pStyle w:val="comma"/>
        <w:spacing w:before="2" w:after="2"/>
        <w:rPr>
          <w:rFonts w:cs="Times New Roman"/>
        </w:rPr>
      </w:pPr>
      <w:r>
        <w:rPr>
          <w:rFonts w:cs="Times New Roman"/>
        </w:rPr>
        <w:t>2. Se l'ordine di carcerazione è stato eseguito, la domanda è presentata al magistrato di sorveglianza il quale, se l'istanza è ammissibile, se sono offerte concrete indicazioni in ordine alla sussistenza dei presupposti per l'accoglimento della domanda ed al grave pregiudizio derivante dalla protrazione dello stato di detenzione, qualora non vi siano elementi tali da far ritenere la sussistenza del pericolo di fuga, può disporre l'applicazione provvisoria della misura alternativa. Si applicano, in quanto compatibili, le disposizioni di cui al comma 4. Sino alla decisione del tribunale di sorveglianza il magistrato di sorveglianza è competente all'adozione degli ulteriori provvedimenti di cui alla legge 26 luglio 1975, n. 354, e successive modificazioni.</w:t>
      </w:r>
    </w:p>
    <w:p w:rsidR="00BD4750" w:rsidRDefault="00BD4750" w:rsidP="00BD4750">
      <w:pPr>
        <w:pStyle w:val="comma"/>
        <w:spacing w:before="2" w:after="2"/>
        <w:rPr>
          <w:rFonts w:cs="Times New Roman"/>
        </w:rPr>
      </w:pPr>
      <w:r>
        <w:rPr>
          <w:rFonts w:cs="Times New Roman"/>
        </w:rPr>
        <w:t xml:space="preserve">3. Ai fini della decisione, il tribunale di sorveglianza può anche acquisire copia degli atti del procedimento e disporre gli opportuni accertamenti in ordine al programma terapeutico concordato; deve altresì accertare che lo stato di tossicodipendenza o alcooldipendenza o l'esecuzione del programma di recupero non siano preordinati al conseguimento del beneficio. Si applicano le disposizioni di cui all'articolo </w:t>
      </w:r>
      <w:hyperlink r:id="rId6" w:history="1">
        <w:r>
          <w:rPr>
            <w:rStyle w:val="Collegamentoipertestuale"/>
            <w:rFonts w:cs="Times New Roman"/>
          </w:rPr>
          <w:t>92</w:t>
        </w:r>
      </w:hyperlink>
      <w:r>
        <w:rPr>
          <w:rFonts w:cs="Times New Roman"/>
        </w:rPr>
        <w:t>, commi 1 e 3.</w:t>
      </w:r>
    </w:p>
    <w:p w:rsidR="00BD4750" w:rsidRDefault="00BD4750" w:rsidP="00BD4750">
      <w:pPr>
        <w:pStyle w:val="comma"/>
        <w:spacing w:before="2" w:after="2"/>
        <w:rPr>
          <w:rFonts w:cs="Times New Roman"/>
        </w:rPr>
      </w:pPr>
      <w:r>
        <w:rPr>
          <w:rFonts w:cs="Times New Roman"/>
        </w:rPr>
        <w:t>4. Il tribunale accoglie l'istanza se ritiene che il programma di recupero, anche attraverso le altre prescrizioni di cui al all'articolo 47, comma 5, della legge 26 luglio 1975, n. 354, contribuisce al recupero del condannato ed assicura la prevenzione del pericolo che egli commetta altri reati. Se il tribunale di sorveglianza dispone l'affidamento, tra le prescrizioni impartite devono essere comprese quelle che determinano le modalità di esecuzione del programma. Sono altresì stabilite le prescrizioni e le forme di controllo per accertare che il tossicodipendente o l'alcooldipendente inizi immediatamente o prosegua il programma di recupero. L'esecuzione della pena si considera iniziata dalla data del verbale di affidamento, tuttavia qualora il programma terapeutico al momento della decisione risulti già positivamente in corso, il tribunale, tenuto conto della durata delle limitazioni alle quali l'interessato si è spontaneamente sottoposto e del suo comportamento, può determinare una diversa, più favorevole data di decorrenza dell'esecuzione.</w:t>
      </w:r>
    </w:p>
    <w:p w:rsidR="00BD4750" w:rsidRDefault="00BD4750" w:rsidP="00BD4750">
      <w:pPr>
        <w:pStyle w:val="comma"/>
        <w:spacing w:before="2" w:after="2"/>
        <w:rPr>
          <w:rFonts w:cs="Times New Roman"/>
        </w:rPr>
      </w:pPr>
      <w:r>
        <w:rPr>
          <w:rFonts w:cs="Times New Roman"/>
        </w:rPr>
        <w:t>5. [L'affidamento in prova al servizio sociale non può essere disposto, ai sensi del presente articolo, più di due volte.]</w:t>
      </w:r>
      <w:hyperlink r:id="rId7" w:anchor="nota_20011" w:history="1">
        <w:r>
          <w:rPr>
            <w:rStyle w:val="Collegamentoipertestuale"/>
            <w:rFonts w:cs="Times New Roman"/>
            <w:vertAlign w:val="superscript"/>
          </w:rPr>
          <w:t>(1)</w:t>
        </w:r>
      </w:hyperlink>
    </w:p>
    <w:p w:rsidR="00BD4750" w:rsidRDefault="00BD4750" w:rsidP="00BD4750">
      <w:pPr>
        <w:pStyle w:val="comma"/>
        <w:spacing w:before="2" w:after="2"/>
        <w:rPr>
          <w:rFonts w:cs="Times New Roman"/>
        </w:rPr>
      </w:pPr>
      <w:r>
        <w:rPr>
          <w:rFonts w:cs="Times New Roman"/>
        </w:rPr>
        <w:t>6. Si applica, per quanto non diversamente stabilito, la disciplina prevista dalla legge 26 luglio 1975, n. 354, come modificata dalla legge 10 giugno 1986, n. 663.</w:t>
      </w:r>
    </w:p>
    <w:p w:rsidR="00BD4750" w:rsidRDefault="00BD4750" w:rsidP="00BD4750">
      <w:pPr>
        <w:pStyle w:val="comma"/>
        <w:spacing w:before="2" w:after="2"/>
        <w:rPr>
          <w:rFonts w:cs="Times New Roman"/>
        </w:rPr>
      </w:pPr>
      <w:r>
        <w:rPr>
          <w:rFonts w:cs="Times New Roman"/>
        </w:rPr>
        <w:t>6-bis. Qualora nel corso dell'affidamento disposto ai sensi del presente articolo l'interessato abbia positivamente terminato la parte terapeutica del programma, il magistrato di sorveglianza, previa rideterminazione delle prescrizioni, può disporne la prosecuzione ai fini del reinserimento sociale anche qualora la pena residua superi quella prevista per l'affidamento ordinario di cui all'articolo 47 della legge 26 luglio 1975, n. 354.</w:t>
      </w:r>
    </w:p>
    <w:p w:rsidR="00BD4750" w:rsidRDefault="00BD4750" w:rsidP="00BD4750">
      <w:pPr>
        <w:pStyle w:val="comma"/>
        <w:spacing w:before="2" w:after="2"/>
        <w:rPr>
          <w:rFonts w:cs="Times New Roman"/>
        </w:rPr>
      </w:pPr>
      <w:r>
        <w:rPr>
          <w:rFonts w:cs="Times New Roman"/>
        </w:rPr>
        <w:t xml:space="preserve">6-ter. Il responsabile della struttura presso cui si svolge il programma terapeutico di recupero e socio-riabilitativo è tenuto a segnalare all'autorità giudiziaria le violazioni commesse dalla persona sottoposta al programma. Qualora tali violazioni integrino un reato, in caso di omissione, l'autorità giudiziaria ne dà comunicazione alle autorità competenti per la sospensione o revoca dell'autorizzazione di cui all'articolo </w:t>
      </w:r>
      <w:hyperlink r:id="rId8" w:history="1">
        <w:r>
          <w:rPr>
            <w:rStyle w:val="Collegamentoipertestuale"/>
            <w:rFonts w:cs="Times New Roman"/>
          </w:rPr>
          <w:t>116</w:t>
        </w:r>
      </w:hyperlink>
      <w:r>
        <w:rPr>
          <w:rFonts w:cs="Times New Roman"/>
        </w:rPr>
        <w:t xml:space="preserve"> e dell'accreditamento di cui all'articolo </w:t>
      </w:r>
      <w:hyperlink r:id="rId9" w:history="1">
        <w:r>
          <w:rPr>
            <w:rStyle w:val="Collegamentoipertestuale"/>
            <w:rFonts w:cs="Times New Roman"/>
          </w:rPr>
          <w:t>117</w:t>
        </w:r>
      </w:hyperlink>
      <w:r>
        <w:rPr>
          <w:rFonts w:cs="Times New Roman"/>
        </w:rPr>
        <w:t>, ferma restando l'adozione di misure idonee a tutelare i soggetti in trattamento presso la struttura.</w:t>
      </w:r>
    </w:p>
    <w:p w:rsidR="00A50EE1" w:rsidRDefault="00BD4750" w:rsidP="00BD4750">
      <w:pPr>
        <w:jc w:val="center"/>
      </w:pPr>
    </w:p>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D4750"/>
    <w:rsid w:val="00BD4750"/>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BD4750"/>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BD4750"/>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BD4750"/>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uiPriority w:val="9"/>
    <w:rsid w:val="00BD4750"/>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BD4750"/>
    <w:rPr>
      <w:rFonts w:ascii="Times" w:hAnsi="Times"/>
      <w:b/>
      <w:sz w:val="36"/>
      <w:szCs w:val="20"/>
      <w:lang w:eastAsia="it-IT"/>
    </w:rPr>
  </w:style>
  <w:style w:type="character" w:customStyle="1" w:styleId="Titolo3Carattere">
    <w:name w:val="Titolo 3 Carattere"/>
    <w:basedOn w:val="Caratterepredefinitoparagrafo"/>
    <w:link w:val="Titolo3"/>
    <w:uiPriority w:val="9"/>
    <w:rsid w:val="00BD4750"/>
    <w:rPr>
      <w:rFonts w:ascii="Times" w:hAnsi="Times"/>
      <w:b/>
      <w:sz w:val="27"/>
      <w:szCs w:val="20"/>
      <w:lang w:eastAsia="it-IT"/>
    </w:rPr>
  </w:style>
  <w:style w:type="paragraph" w:customStyle="1" w:styleId="comma">
    <w:name w:val="comma"/>
    <w:basedOn w:val="Normale"/>
    <w:rsid w:val="00BD4750"/>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BD4750"/>
    <w:rPr>
      <w:color w:val="0000FF"/>
      <w:u w:val="single"/>
    </w:rPr>
  </w:style>
</w:styles>
</file>

<file path=word/webSettings.xml><?xml version="1.0" encoding="utf-8"?>
<w:webSettings xmlns:r="http://schemas.openxmlformats.org/officeDocument/2006/relationships" xmlns:w="http://schemas.openxmlformats.org/wordprocessingml/2006/main">
  <w:divs>
    <w:div w:id="1133331265">
      <w:bodyDiv w:val="1"/>
      <w:marLeft w:val="0"/>
      <w:marRight w:val="0"/>
      <w:marTop w:val="0"/>
      <w:marBottom w:val="0"/>
      <w:divBdr>
        <w:top w:val="none" w:sz="0" w:space="0" w:color="auto"/>
        <w:left w:val="none" w:sz="0" w:space="0" w:color="auto"/>
        <w:bottom w:val="none" w:sz="0" w:space="0" w:color="auto"/>
        <w:right w:val="none" w:sz="0" w:space="0" w:color="auto"/>
      </w:divBdr>
      <w:divsChild>
        <w:div w:id="800149945">
          <w:marLeft w:val="0"/>
          <w:marRight w:val="0"/>
          <w:marTop w:val="0"/>
          <w:marBottom w:val="0"/>
          <w:divBdr>
            <w:top w:val="none" w:sz="0" w:space="0" w:color="auto"/>
            <w:left w:val="none" w:sz="0" w:space="0" w:color="auto"/>
            <w:bottom w:val="none" w:sz="0" w:space="0" w:color="auto"/>
            <w:right w:val="none" w:sz="0" w:space="0" w:color="auto"/>
          </w:divBdr>
          <w:divsChild>
            <w:div w:id="315572976">
              <w:marLeft w:val="0"/>
              <w:marRight w:val="0"/>
              <w:marTop w:val="0"/>
              <w:marBottom w:val="0"/>
              <w:divBdr>
                <w:top w:val="none" w:sz="0" w:space="0" w:color="auto"/>
                <w:left w:val="none" w:sz="0" w:space="0" w:color="auto"/>
                <w:bottom w:val="none" w:sz="0" w:space="0" w:color="auto"/>
                <w:right w:val="none" w:sz="0" w:space="0" w:color="auto"/>
              </w:divBdr>
            </w:div>
            <w:div w:id="22953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239067">
      <w:bodyDiv w:val="1"/>
      <w:marLeft w:val="0"/>
      <w:marRight w:val="0"/>
      <w:marTop w:val="0"/>
      <w:marBottom w:val="0"/>
      <w:divBdr>
        <w:top w:val="none" w:sz="0" w:space="0" w:color="auto"/>
        <w:left w:val="none" w:sz="0" w:space="0" w:color="auto"/>
        <w:bottom w:val="none" w:sz="0" w:space="0" w:color="auto"/>
        <w:right w:val="none" w:sz="0" w:space="0" w:color="auto"/>
      </w:divBdr>
      <w:divsChild>
        <w:div w:id="318121078">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www.brocardi.it/testo-unico-stupefacenti/titolo-x/art116.html" TargetMode="External"/><Relationship Id="rId5" Type="http://schemas.openxmlformats.org/officeDocument/2006/relationships/hyperlink" Target="https://www.brocardi.it/testo-unico-stupefacenti/titolo-x/art116.html" TargetMode="External"/><Relationship Id="rId6" Type="http://schemas.openxmlformats.org/officeDocument/2006/relationships/hyperlink" Target="https://www.brocardi.it/testo-unico-stupefacenti/titolo-viii/capo-ii/art92.html" TargetMode="External"/><Relationship Id="rId7" Type="http://schemas.openxmlformats.org/officeDocument/2006/relationships/hyperlink" Target="https://www.brocardi.it/testo-unico-stupefacenti/titolo-viii/capo-ii/art94.html" TargetMode="External"/><Relationship Id="rId8" Type="http://schemas.openxmlformats.org/officeDocument/2006/relationships/hyperlink" Target="https://www.brocardi.it/testo-unico-stupefacenti/titolo-x/art116.html" TargetMode="External"/><Relationship Id="rId9" Type="http://schemas.openxmlformats.org/officeDocument/2006/relationships/hyperlink" Target="https://www.brocardi.it/testo-unico-stupefacenti/titolo-x/art117.html"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Chiuchiolo</dc:creator>
  <cp:keywords/>
  <cp:lastModifiedBy>Massimiliano Chiuchiolo</cp:lastModifiedBy>
  <cp:revision>1</cp:revision>
  <dcterms:created xsi:type="dcterms:W3CDTF">2025-05-06T11:48:00Z</dcterms:created>
  <dcterms:modified xsi:type="dcterms:W3CDTF">2025-05-06T11:49:00Z</dcterms:modified>
</cp:coreProperties>
</file>